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读背story time.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默写U1单词.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2.抄写U1单词.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5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完成《练习与测试》P60第1-4题。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完成《练习与测试》P60第1-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  <w:r>
              <w:rPr>
                <w:rFonts w:hint="eastAsia"/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习作：写信（第一课时）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踏雪寻梅》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习作：写信（第二课时）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1.根据课堂讲评修改并完善习作。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61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1.读背cartoontime.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time.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缝毽子（学习基本针法）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第七单元复习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1.读背sound time ,rhyme time.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2.默写cartoon课文.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 sound time,rhyme time.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2.抄写cartoon 课文。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15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《王戎不取道旁李》第一课时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2.默写U1知识点词组。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2.抄写U1知识点词组。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3E335B"/>
    <w:rsid w:val="00434FC6"/>
    <w:rsid w:val="00460CE5"/>
    <w:rsid w:val="00462C63"/>
    <w:rsid w:val="004B465F"/>
    <w:rsid w:val="004E63DC"/>
    <w:rsid w:val="004F4FA7"/>
    <w:rsid w:val="005E6487"/>
    <w:rsid w:val="00623EDA"/>
    <w:rsid w:val="00690E9B"/>
    <w:rsid w:val="00795E7C"/>
    <w:rsid w:val="00821AC4"/>
    <w:rsid w:val="00845814"/>
    <w:rsid w:val="00893885"/>
    <w:rsid w:val="00931E1D"/>
    <w:rsid w:val="00933226"/>
    <w:rsid w:val="00954FC5"/>
    <w:rsid w:val="009A2E21"/>
    <w:rsid w:val="00A13F5B"/>
    <w:rsid w:val="00A32183"/>
    <w:rsid w:val="00A50AD5"/>
    <w:rsid w:val="00A61C10"/>
    <w:rsid w:val="00B06A48"/>
    <w:rsid w:val="00BD09F9"/>
    <w:rsid w:val="00BE30ED"/>
    <w:rsid w:val="00C04FD7"/>
    <w:rsid w:val="00C5390A"/>
    <w:rsid w:val="00D164DF"/>
    <w:rsid w:val="00D64CF9"/>
    <w:rsid w:val="00DE4C28"/>
    <w:rsid w:val="00E50CD5"/>
    <w:rsid w:val="00E5717B"/>
    <w:rsid w:val="00E71C1F"/>
    <w:rsid w:val="00EA0F9C"/>
    <w:rsid w:val="00EE260C"/>
    <w:rsid w:val="00F945C4"/>
    <w:rsid w:val="28285B25"/>
    <w:rsid w:val="2DC2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2128</Words>
  <Characters>2362</Characters>
  <Lines>22</Lines>
  <Paragraphs>6</Paragraphs>
  <TotalTime>0</TotalTime>
  <ScaleCrop>false</ScaleCrop>
  <LinksUpToDate>false</LinksUpToDate>
  <CharactersWithSpaces>2704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2022-12-02T01:42:00Z</dcterms:created>
  <dc:creator>123</dc:creator>
  <cp:lastModifiedBy>「蔚泠。</cp:lastModifiedBy>
  <dcterms:modified xsi:type="dcterms:W3CDTF">2022-12-02T02:20:49Z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