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B51" w:rsidRDefault="00F2652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B51" w:rsidRDefault="00F2652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642628">
        <w:rPr>
          <w:rFonts w:hint="eastAsia"/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5B51" w:rsidRDefault="00C55B5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55B51">
        <w:trPr>
          <w:trHeight w:val="473"/>
        </w:trPr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5B51">
        <w:trPr>
          <w:trHeight w:val="409"/>
        </w:trPr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03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843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3260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276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992" w:type="dxa"/>
            <w:vMerge/>
          </w:tcPr>
          <w:p w:rsidR="00C55B51" w:rsidRDefault="00C55B51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 w:val="restart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  <w:rPr>
                <w:rFonts w:ascii="Calibri" w:hAnsi="Calibri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 w:rsidR="006114DD" w:rsidRPr="00793B6E" w:rsidRDefault="006114DD" w:rsidP="006114DD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:rsidR="006114DD" w:rsidRDefault="006114DD" w:rsidP="006114DD">
            <w:pPr>
              <w:rPr>
                <w:rFonts w:asciiTheme="minorEastAsia" w:hAnsi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6114DD" w:rsidRPr="00793B6E" w:rsidRDefault="006114DD" w:rsidP="006114DD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:rsidR="006114DD" w:rsidRDefault="006114DD" w:rsidP="006114D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6114DD" w:rsidRDefault="006114DD" w:rsidP="006114DD">
            <w:pPr>
              <w:jc w:val="center"/>
              <w:rPr>
                <w:rFonts w:ascii="Calibri" w:hAnsi="Calibri"/>
                <w:b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center"/>
            </w:pPr>
            <w:r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  <w:r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F2652F" w:rsidRPr="00EA56E4" w:rsidRDefault="00F2652F" w:rsidP="00F2652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2652F" w:rsidRDefault="00F2652F" w:rsidP="00F2652F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-K</w:t>
            </w:r>
          </w:p>
        </w:tc>
        <w:tc>
          <w:tcPr>
            <w:tcW w:w="1701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60" w:type="dxa"/>
          </w:tcPr>
          <w:p w:rsidR="006114DD" w:rsidRPr="00AC7A94" w:rsidRDefault="006114DD" w:rsidP="006114DD">
            <w:pPr>
              <w:rPr>
                <w:rFonts w:asciiTheme="minorEastAsia" w:hAnsiTheme="minorEastAsia"/>
                <w:szCs w:val="21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 w:rsidRPr="00EC6004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</w:tbl>
    <w:p w:rsidR="00C55B51" w:rsidRDefault="00C55B5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55B51">
        <w:trPr>
          <w:trHeight w:val="473"/>
        </w:trPr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5B51">
        <w:trPr>
          <w:trHeight w:val="409"/>
        </w:trPr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03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843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3260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276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992" w:type="dxa"/>
            <w:vMerge/>
          </w:tcPr>
          <w:p w:rsidR="00C55B51" w:rsidRDefault="00C55B51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14D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14DD" w:rsidRDefault="006114DD" w:rsidP="006114D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114DD" w:rsidRDefault="006114DD" w:rsidP="006114D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114DD" w:rsidRDefault="006114DD" w:rsidP="006114D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14DD" w:rsidRDefault="006114DD" w:rsidP="006114DD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3260" w:type="dxa"/>
          </w:tcPr>
          <w:p w:rsidR="006114DD" w:rsidRDefault="006114DD" w:rsidP="006114DD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2835" w:type="dxa"/>
          </w:tcPr>
          <w:p w:rsidR="006114DD" w:rsidRDefault="006114DD" w:rsidP="006114DD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2652F" w:rsidRDefault="00F2652F" w:rsidP="00F2652F">
            <w:pPr>
              <w:jc w:val="left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 w:rsidR="00F2652F" w:rsidRDefault="00F2652F" w:rsidP="00F2652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F2652F" w:rsidRDefault="00F2652F" w:rsidP="00F2652F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F2652F" w:rsidRDefault="00F2652F" w:rsidP="00F2652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F2652F" w:rsidRDefault="00F2652F" w:rsidP="00F2652F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F2652F" w:rsidRDefault="00F2652F" w:rsidP="00F2652F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  <w:tr w:rsidR="00F2652F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2652F" w:rsidRDefault="00F2652F" w:rsidP="00F2652F"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 w:rsidR="00F2652F" w:rsidRDefault="00F2652F" w:rsidP="00F2652F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F2652F" w:rsidRDefault="00F2652F" w:rsidP="00F2652F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F2652F" w:rsidRDefault="00F2652F" w:rsidP="00F2652F"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 w:rsidR="00F2652F" w:rsidRDefault="00F2652F" w:rsidP="00F2652F"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F2652F" w:rsidRDefault="00F2652F" w:rsidP="00F2652F">
            <w:pPr>
              <w:pStyle w:val="a6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F2652F" w:rsidRDefault="00F2652F" w:rsidP="00F2652F">
            <w:pPr>
              <w:jc w:val="left"/>
            </w:pPr>
          </w:p>
        </w:tc>
        <w:tc>
          <w:tcPr>
            <w:tcW w:w="1701" w:type="dxa"/>
          </w:tcPr>
          <w:p w:rsidR="00F2652F" w:rsidRDefault="00F2652F" w:rsidP="00F2652F">
            <w:pPr>
              <w:jc w:val="center"/>
            </w:pPr>
          </w:p>
          <w:p w:rsidR="00F2652F" w:rsidRDefault="00F2652F" w:rsidP="00F2652F">
            <w:pPr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114DD" w:rsidRDefault="006114DD" w:rsidP="006114DD">
            <w:pPr>
              <w:jc w:val="left"/>
            </w:pPr>
          </w:p>
        </w:tc>
      </w:tr>
      <w:tr w:rsidR="00C55B51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55B51" w:rsidRDefault="00C55B51">
            <w:pPr>
              <w:rPr>
                <w:b/>
                <w:sz w:val="24"/>
              </w:rPr>
            </w:pPr>
          </w:p>
        </w:tc>
      </w:tr>
      <w:tr w:rsidR="00C55B51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5B51">
        <w:trPr>
          <w:trHeight w:val="409"/>
        </w:trPr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03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843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3260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276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992" w:type="dxa"/>
            <w:vMerge/>
          </w:tcPr>
          <w:p w:rsidR="00C55B51" w:rsidRDefault="00C55B51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 w:val="restart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6114DD" w:rsidRDefault="006114DD" w:rsidP="006114DD">
            <w:pPr>
              <w:jc w:val="left"/>
              <w:rPr>
                <w:sz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2652F" w:rsidRDefault="00F2652F" w:rsidP="00F2652F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F2652F" w:rsidRDefault="00F2652F" w:rsidP="00F2652F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52F" w:rsidRDefault="00F2652F" w:rsidP="00F2652F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 w:rsidR="00F2652F" w:rsidRDefault="00F2652F" w:rsidP="00F2652F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</w:tbl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55B51">
        <w:trPr>
          <w:trHeight w:val="473"/>
        </w:trPr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5B51">
        <w:trPr>
          <w:trHeight w:val="409"/>
        </w:trPr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740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03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843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3260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276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992" w:type="dxa"/>
            <w:vMerge/>
          </w:tcPr>
          <w:p w:rsidR="00C55B51" w:rsidRDefault="00C55B51">
            <w:pPr>
              <w:jc w:val="left"/>
            </w:pPr>
          </w:p>
        </w:tc>
      </w:tr>
      <w:tr w:rsidR="006114DD" w:rsidTr="004101D6">
        <w:trPr>
          <w:trHeight w:val="850"/>
        </w:trPr>
        <w:tc>
          <w:tcPr>
            <w:tcW w:w="740" w:type="dxa"/>
            <w:vMerge w:val="restart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  <w:rPr>
                <w:rFonts w:asciiTheme="minorEastAsia" w:hAnsiTheme="minorEastAsia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6114DD" w:rsidRDefault="006114DD" w:rsidP="006114DD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 w:hint="eastAsia"/>
              </w:rPr>
              <w:t>整理与练习（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60" w:type="dxa"/>
          </w:tcPr>
          <w:p w:rsidR="006114DD" w:rsidRDefault="006114DD" w:rsidP="006114DD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1701" w:type="dxa"/>
          </w:tcPr>
          <w:p w:rsidR="006114DD" w:rsidRDefault="006114DD" w:rsidP="006114DD">
            <w:pPr>
              <w:jc w:val="left"/>
            </w:pPr>
            <w:r>
              <w:rPr>
                <w:rFonts w:cs="宋体" w:hint="eastAsia"/>
              </w:rPr>
              <w:t>实践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F2652F" w:rsidRPr="00BF6941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2652F" w:rsidRDefault="00F2652F" w:rsidP="00F2652F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F2652F" w:rsidRDefault="00F2652F" w:rsidP="00F2652F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F2652F" w:rsidRDefault="00F2652F" w:rsidP="00F2652F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2652F" w:rsidRDefault="00F2652F" w:rsidP="00F2652F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40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6114DD" w:rsidRDefault="006114DD" w:rsidP="006114DD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6114DD" w:rsidRDefault="006114DD" w:rsidP="006114DD">
            <w:pPr>
              <w:jc w:val="center"/>
            </w:pPr>
            <w:r>
              <w:rPr>
                <w:rFonts w:hint="eastAsia"/>
              </w:rPr>
              <w:t>0</w:t>
            </w:r>
            <w:r>
              <w:t>-</w:t>
            </w:r>
          </w:p>
        </w:tc>
        <w:tc>
          <w:tcPr>
            <w:tcW w:w="992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 w:rsidTr="00325467">
        <w:trPr>
          <w:trHeight w:val="850"/>
        </w:trPr>
        <w:tc>
          <w:tcPr>
            <w:tcW w:w="740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2652F" w:rsidRDefault="00F2652F" w:rsidP="00F2652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 w:rsidR="00F2652F" w:rsidRDefault="00F2652F" w:rsidP="00F2652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 w:rsidR="00F2652F" w:rsidRDefault="00F2652F" w:rsidP="00F2652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 w:rsidR="00F2652F" w:rsidRDefault="00F2652F" w:rsidP="00F2652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2652F" w:rsidRDefault="00F2652F" w:rsidP="00F2652F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F2652F" w:rsidRDefault="00F2652F" w:rsidP="00F2652F">
            <w:pPr>
              <w:jc w:val="left"/>
            </w:pPr>
          </w:p>
        </w:tc>
      </w:tr>
    </w:tbl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p w:rsidR="00C55B51" w:rsidRDefault="00C55B51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C55B51">
        <w:trPr>
          <w:trHeight w:val="473"/>
        </w:trPr>
        <w:tc>
          <w:tcPr>
            <w:tcW w:w="724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C55B51" w:rsidRDefault="00F2652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C55B51" w:rsidRDefault="00F2652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5B51">
        <w:trPr>
          <w:trHeight w:val="409"/>
        </w:trPr>
        <w:tc>
          <w:tcPr>
            <w:tcW w:w="724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725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00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784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3130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C55B51" w:rsidRDefault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1233" w:type="dxa"/>
            <w:vMerge/>
          </w:tcPr>
          <w:p w:rsidR="00C55B51" w:rsidRDefault="00C55B51">
            <w:pPr>
              <w:jc w:val="left"/>
            </w:pPr>
          </w:p>
        </w:tc>
        <w:tc>
          <w:tcPr>
            <w:tcW w:w="964" w:type="dxa"/>
            <w:vMerge/>
          </w:tcPr>
          <w:p w:rsidR="00C55B51" w:rsidRDefault="00C55B51">
            <w:pPr>
              <w:jc w:val="left"/>
            </w:pPr>
          </w:p>
        </w:tc>
      </w:tr>
      <w:tr w:rsidR="006114DD" w:rsidTr="007C7F9D">
        <w:trPr>
          <w:trHeight w:val="850"/>
        </w:trPr>
        <w:tc>
          <w:tcPr>
            <w:tcW w:w="724" w:type="dxa"/>
            <w:vMerge w:val="restart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 w:rsidR="006114DD" w:rsidRDefault="006114DD" w:rsidP="006114DD">
            <w:pPr>
              <w:rPr>
                <w:rFonts w:asciiTheme="minorEastAsia" w:hAnsiTheme="min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130" w:type="dxa"/>
          </w:tcPr>
          <w:p w:rsidR="006114DD" w:rsidRPr="00C67D0F" w:rsidRDefault="006114DD" w:rsidP="006114DD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6114DD" w:rsidRDefault="006114DD" w:rsidP="006114DD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六、七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732" w:type="dxa"/>
          </w:tcPr>
          <w:p w:rsidR="006114DD" w:rsidRPr="00C67D0F" w:rsidRDefault="006114DD" w:rsidP="006114DD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6114DD" w:rsidRDefault="006114DD" w:rsidP="006114DD">
            <w:pPr>
              <w:jc w:val="left"/>
              <w:rPr>
                <w:rFonts w:asciiTheme="minorEastAsia" w:hAnsiTheme="min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648" w:type="dxa"/>
          </w:tcPr>
          <w:p w:rsidR="006114DD" w:rsidRPr="00C67D0F" w:rsidRDefault="006114DD" w:rsidP="006114DD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6114DD" w:rsidRDefault="006114DD" w:rsidP="006114D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233" w:type="dxa"/>
          </w:tcPr>
          <w:p w:rsidR="006114DD" w:rsidRDefault="006114DD" w:rsidP="006114DD">
            <w:pPr>
              <w:jc w:val="left"/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114DD" w:rsidTr="00DA31F5">
        <w:trPr>
          <w:trHeight w:val="850"/>
        </w:trPr>
        <w:tc>
          <w:tcPr>
            <w:tcW w:w="724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6114DD" w:rsidRDefault="006114DD" w:rsidP="006114DD"/>
          <w:p w:rsidR="006114DD" w:rsidRDefault="006114DD" w:rsidP="006114DD">
            <w:pPr>
              <w:jc w:val="left"/>
              <w:textAlignment w:val="baseline"/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30" w:type="dxa"/>
          </w:tcPr>
          <w:p w:rsidR="006114DD" w:rsidRDefault="006114DD" w:rsidP="006114DD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2732" w:type="dxa"/>
          </w:tcPr>
          <w:p w:rsidR="006114DD" w:rsidRDefault="006114DD" w:rsidP="006114D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648" w:type="dxa"/>
          </w:tcPr>
          <w:p w:rsidR="006114DD" w:rsidRDefault="006114DD" w:rsidP="006114D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33" w:type="dxa"/>
            <w:vAlign w:val="center"/>
          </w:tcPr>
          <w:p w:rsidR="006114DD" w:rsidRDefault="006114DD" w:rsidP="006114DD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96"/>
        </w:trPr>
        <w:tc>
          <w:tcPr>
            <w:tcW w:w="724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84" w:type="dxa"/>
          </w:tcPr>
          <w:p w:rsidR="006114DD" w:rsidRDefault="006114DD" w:rsidP="006114DD">
            <w:pPr>
              <w:jc w:val="left"/>
              <w:rPr>
                <w:sz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 w:rsidRPr="00793B6E"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130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6114DD" w:rsidRDefault="006114DD" w:rsidP="006114DD">
            <w:pPr>
              <w:jc w:val="left"/>
              <w:rPr>
                <w:sz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732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6114DD" w:rsidRDefault="006114DD" w:rsidP="006114DD">
            <w:pPr>
              <w:jc w:val="left"/>
              <w:rPr>
                <w:sz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648" w:type="dxa"/>
          </w:tcPr>
          <w:p w:rsidR="006114DD" w:rsidRPr="00793B6E" w:rsidRDefault="006114DD" w:rsidP="006114DD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6114DD" w:rsidRDefault="006114DD" w:rsidP="006114DD">
            <w:pPr>
              <w:jc w:val="left"/>
              <w:textAlignment w:val="baseline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33" w:type="dxa"/>
          </w:tcPr>
          <w:p w:rsidR="006114DD" w:rsidRDefault="006114DD" w:rsidP="006114DD">
            <w:pPr>
              <w:jc w:val="left"/>
              <w:textAlignment w:val="baseline"/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F2652F">
        <w:trPr>
          <w:trHeight w:val="522"/>
        </w:trPr>
        <w:tc>
          <w:tcPr>
            <w:tcW w:w="724" w:type="dxa"/>
            <w:vMerge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vAlign w:val="center"/>
          </w:tcPr>
          <w:p w:rsidR="00F2652F" w:rsidRDefault="00F2652F" w:rsidP="00F265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F2652F" w:rsidRDefault="00F2652F" w:rsidP="00F265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F2652F" w:rsidRPr="00BF6941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41"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F2652F" w:rsidRDefault="00F2652F" w:rsidP="00F2652F">
            <w:pPr>
              <w:jc w:val="left"/>
            </w:pPr>
          </w:p>
        </w:tc>
        <w:tc>
          <w:tcPr>
            <w:tcW w:w="3130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复习过去式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</w:tcPr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2652F" w:rsidRPr="00EA56E4" w:rsidRDefault="00F2652F" w:rsidP="00F2652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F2652F" w:rsidRDefault="00F2652F" w:rsidP="00F2652F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F2652F" w:rsidRDefault="00F2652F" w:rsidP="00F2652F">
            <w:pPr>
              <w:jc w:val="left"/>
            </w:pPr>
          </w:p>
        </w:tc>
      </w:tr>
      <w:bookmarkEnd w:id="0"/>
      <w:tr w:rsidR="006114DD">
        <w:trPr>
          <w:trHeight w:val="850"/>
        </w:trPr>
        <w:tc>
          <w:tcPr>
            <w:tcW w:w="724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130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2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8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64" w:type="dxa"/>
            <w:vMerge/>
          </w:tcPr>
          <w:p w:rsidR="006114DD" w:rsidRDefault="006114DD" w:rsidP="006114DD">
            <w:pPr>
              <w:jc w:val="left"/>
            </w:pPr>
          </w:p>
        </w:tc>
      </w:tr>
      <w:tr w:rsidR="006114DD">
        <w:trPr>
          <w:trHeight w:val="850"/>
        </w:trPr>
        <w:tc>
          <w:tcPr>
            <w:tcW w:w="724" w:type="dxa"/>
            <w:vMerge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6114DD" w:rsidRDefault="006114DD" w:rsidP="006114D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6114DD" w:rsidRDefault="006114DD" w:rsidP="006114D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</w:tcPr>
          <w:p w:rsidR="006114DD" w:rsidRDefault="006114DD" w:rsidP="006114DD">
            <w:pPr>
              <w:numPr>
                <w:ilvl w:val="0"/>
                <w:numId w:val="2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:rsidR="006114DD" w:rsidRPr="001D0508" w:rsidRDefault="006114DD" w:rsidP="006114DD"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、唱《李玉莲调》</w:t>
            </w:r>
            <w:r>
              <w:rPr>
                <w:rFonts w:ascii="宋体" w:hAnsi="宋体" w:hint="eastAsia"/>
                <w:sz w:val="24"/>
              </w:rPr>
              <w:t>》</w:t>
            </w:r>
          </w:p>
        </w:tc>
        <w:tc>
          <w:tcPr>
            <w:tcW w:w="3130" w:type="dxa"/>
          </w:tcPr>
          <w:p w:rsidR="006114DD" w:rsidRDefault="006114DD" w:rsidP="006114DD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2732" w:type="dxa"/>
          </w:tcPr>
          <w:p w:rsidR="006114DD" w:rsidRDefault="006114DD" w:rsidP="006114DD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6114DD" w:rsidRDefault="006114DD" w:rsidP="006114DD">
            <w:pPr>
              <w:jc w:val="left"/>
            </w:pPr>
          </w:p>
        </w:tc>
        <w:tc>
          <w:tcPr>
            <w:tcW w:w="1648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 w:rsidR="006114DD" w:rsidRDefault="006114DD" w:rsidP="006114D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6114DD" w:rsidRDefault="006114DD" w:rsidP="006114DD">
            <w:pPr>
              <w:jc w:val="left"/>
            </w:pPr>
          </w:p>
        </w:tc>
      </w:tr>
    </w:tbl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C55B51">
      <w:pPr>
        <w:jc w:val="left"/>
        <w:rPr>
          <w:b/>
          <w:sz w:val="24"/>
        </w:rPr>
      </w:pPr>
    </w:p>
    <w:p w:rsidR="00C55B51" w:rsidRDefault="00F2652F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吴群燕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C55B51" w:rsidRDefault="00C55B51">
      <w:pPr>
        <w:jc w:val="left"/>
      </w:pPr>
    </w:p>
    <w:sectPr w:rsidR="00C55B5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114DD"/>
    <w:rsid w:val="00642628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55B51"/>
    <w:rsid w:val="00C81708"/>
    <w:rsid w:val="00D146A6"/>
    <w:rsid w:val="00D557E5"/>
    <w:rsid w:val="00DD55E5"/>
    <w:rsid w:val="00E60A17"/>
    <w:rsid w:val="00E87657"/>
    <w:rsid w:val="00EF51EB"/>
    <w:rsid w:val="00F20EA0"/>
    <w:rsid w:val="00F2652F"/>
    <w:rsid w:val="00F46B22"/>
    <w:rsid w:val="0C3C0DA8"/>
    <w:rsid w:val="1A7929B6"/>
    <w:rsid w:val="25B901EF"/>
    <w:rsid w:val="28460DF5"/>
    <w:rsid w:val="2C663817"/>
    <w:rsid w:val="3A3C7BFC"/>
    <w:rsid w:val="3D0B3BE8"/>
    <w:rsid w:val="41B07159"/>
    <w:rsid w:val="46492B04"/>
    <w:rsid w:val="4D1450C0"/>
    <w:rsid w:val="50B126C1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FD05C0-3217-45F7-8F1B-7CA4D8D6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2DA4-ADAA-4E57-AB45-1FBBF38F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39</cp:revision>
  <dcterms:created xsi:type="dcterms:W3CDTF">2021-09-22T02:49:00Z</dcterms:created>
  <dcterms:modified xsi:type="dcterms:W3CDTF">2022-12-02T09:02:00Z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F772DF77E16A41BA8A817B7248AF2DAB</vt:lpwstr>
  </property>
</Properties>
</file>