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  <w:p>
            <w:pPr>
              <w:pStyle w:val="5"/>
              <w:numPr>
                <w:ilvl w:val="0"/>
                <w:numId w:val="0"/>
              </w:numPr>
              <w:ind w:left="-105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3.和爸爸妈妈一起观看摩天轮阅读视频第十五站。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素质练习：核心力量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《风车》第一课时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1701" w:type="dxa"/>
            <w:vAlign w:val="top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numPr>
                <w:ilvl w:val="0"/>
                <w:numId w:val="1"/>
              </w:numPr>
              <w:ind w:left="420" w:leftChars="0" w:hanging="42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学习跳长绳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练习摇绳技术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3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2.在生活中认字。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唱《小蚂蚁搬米粒》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13. 《美丽的冬天》第二课时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3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14. 《健康过冬天》第一课时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明天要远足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听《狮王进行曲》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原地重跳40个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学写横折弯钩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1D52A7"/>
    <w:multiLevelType w:val="singleLevel"/>
    <w:tmpl w:val="161D52A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29AF5BD2"/>
    <w:rsid w:val="29A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2022-12-01T10:48:00Z</dcterms:created>
  <dc:creator>招财猫生意贷小邹</dc:creator>
  <cp:lastModifiedBy>招财猫生意贷小邹</cp:lastModifiedBy>
  <dcterms:modified xsi:type="dcterms:W3CDTF">2022-12-01T10:54:39Z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6FA8BBE27822455798052D905F834786</vt:lpwstr>
  </property>
</Properties>
</file>