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六（2）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bookmarkStart w:id="0" w:name="_GoBack" w:colFirst="1" w:colLast="7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古诗词诵读（第1课时）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结合注释说一说《采薇》和《送元二使安西》两首古诗的意思。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12"/>
              </w:tabs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背诵这两首古诗。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结合注释说一说《采薇》和《送元二使安西》两首古诗的意思。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图形的运动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1.完成《练习与测试》第96-97页。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1.完成《练习与测试》第96-97页第1-4题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9.日益重要的国际组织（第一课时）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区分世界性国际组织和区域性国际组织。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区分世界性国际组织和区域性国际组织。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突破自我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密西西比河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白兰鸽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白兰鸽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白兰鸽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图形与位置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1.完成《练习与测试》第98-99页。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1.完成《练习与测试》第98-99页第1-3题。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古诗词诵读（第2课时）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1.结合注释说一说《春夜喜雨》和《早春呈水部张十八员外》两首古诗的意思。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2.背诵这两首古诗。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结合注释说一说《春夜喜雨》和《早春呈水部张十八员外》两首古诗的意思。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extDirection w:val="lrTb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eastAsia="zh-Hans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拉杆</w:t>
            </w:r>
            <w:r>
              <w:t>仰卧起坐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腰部</w:t>
            </w:r>
            <w:r>
              <w:t>韧带拉伸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拉杆</w:t>
            </w:r>
            <w:r>
              <w:t>仰卧起坐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extDirection w:val="lrTb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eastAsia="zh-Hans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创意</w:t>
            </w:r>
            <w:r>
              <w:t>灯罩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extDirection w:val="lrTb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古诗词诵读（第3课时）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1.结合注释说一说《江上渔者》和《泊船瓜洲》两首古诗的意思。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2.背诵这两首古诗。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结合注释说一说《江上渔者》和《泊船瓜洲》两首古诗的意思。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阶段性复习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1.完成《练习与测试》第102-103页第1-3题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1.读背U7知识点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A-L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读背U7知识点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A-K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Hans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看新闻画新闻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收集和了解有关近期国内外发生的新闻事件，了解新闻的主要内容等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我的家族职业树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制作家庭职业情况调查表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制作家庭职业情况调查表，并绘制成统计图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lang w:val="en-US" w:eastAsia="zh-Hans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俄罗斯转体</w:t>
            </w:r>
            <w:r>
              <w:t>左右换物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开合跳5分钟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俄罗斯</w:t>
            </w:r>
            <w:r>
              <w:t>转体左右换物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bookmarkEnd w:id="0"/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孙琪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5338997">
    <w:nsid w:val="65A56875"/>
    <w:multiLevelType w:val="singleLevel"/>
    <w:tmpl w:val="65A5687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05338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29EA4454"/>
    <w:rsid w:val="2DDD755C"/>
    <w:rsid w:val="40D41388"/>
    <w:rsid w:val="47FBD628"/>
    <w:rsid w:val="523338C8"/>
    <w:rsid w:val="59FF2D29"/>
    <w:rsid w:val="659B6CB4"/>
    <w:rsid w:val="6FF7A3AA"/>
    <w:rsid w:val="7AEF5E24"/>
    <w:rsid w:val="7AFFA19D"/>
    <w:rsid w:val="9BAF7A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</Words>
  <Characters>255</Characters>
  <Lines>2</Lines>
  <Paragraphs>1</Paragraphs>
  <TotalTime>0</TotalTime>
  <ScaleCrop>false</ScaleCrop>
  <LinksUpToDate>false</LinksUpToDate>
  <CharactersWithSpaces>303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Administrator</cp:lastModifiedBy>
  <dcterms:modified xsi:type="dcterms:W3CDTF">2023-05-05T04:56:00Z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4EC3FFD02D9241CEB54C7595D3D1B801_13</vt:lpwstr>
  </property>
</Properties>
</file>