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学唱歌曲《凤阳花鼓》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学几个花鼓的基本动作，随着音乐演一演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水墨画工具材料，熟读小学生古诗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70首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水墨画工具材料，熟读小学生古诗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70首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四单元练习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欣赏钢琴曲《花鼓》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跟着音乐哼唱《花鼓》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能</w:t>
            </w:r>
            <w:r>
              <w:rPr>
                <w:rFonts w:hint="eastAsia"/>
                <w:lang w:eastAsia="zh-CN"/>
              </w:rPr>
              <w:t>尝试</w:t>
            </w:r>
            <w:r>
              <w:rPr>
                <w:rFonts w:hint="eastAsia"/>
              </w:rPr>
              <w:t>动手制作一个扑满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异分母分数加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、减法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2.阅读相关书籍。</w:t>
            </w:r>
            <w:bookmarkStart w:id="0" w:name="_GoBack"/>
            <w:bookmarkEnd w:id="0"/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229D09BE"/>
    <w:rsid w:val="22E14F43"/>
    <w:rsid w:val="30E16A06"/>
    <w:rsid w:val="34FA40C4"/>
    <w:rsid w:val="424E765B"/>
    <w:rsid w:val="439330C5"/>
    <w:rsid w:val="48A32565"/>
    <w:rsid w:val="4C0E4701"/>
    <w:rsid w:val="5A42003A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</Words>
  <Characters>258</Characters>
  <Lines>4</Lines>
  <Paragraphs>1</Paragraphs>
  <TotalTime>0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2023-04-25T00:48:26Z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