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ind w:firstLineChars="50" w:firstLine="105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3260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5" w:type="dxa"/>
          </w:tcPr>
          <w:p>
            <w:pPr>
              <w:pStyle w:val="a6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的笔算（不连续进位加）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如何</w:t>
            </w:r>
            <w:r>
              <w:rPr>
                <w:szCs w:val="21"/>
              </w:rPr>
              <w:t>计算。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>
            <w:pPr>
              <w:jc w:val="left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《我家小院嘴巴多》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说说其它动物的特征创编歌词。根据创编的歌词唱一唱、演一演。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说说其它动物的特征创编歌词。根据创编的歌词唱一唱、演一演。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2.用自己的话说一说“亡羊补牢、揠苗助长”两个成语的意思。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地方</w:t>
            </w: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9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>
            <w:pPr>
              <w:jc w:val="left"/>
              <w:rPr>
                <w:rFonts w:ascii="Calibri" w:eastAsia="宋体" w:hAnsi="Calibri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能从生活地点、行为、食性等方面来观察一种土壤中生活的小动物。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够运用文字、图表等记录观察的结果。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>
            <w:pPr>
              <w:pStyle w:val="a6"/>
              <w:numPr>
                <w:ilvl w:val="0"/>
                <w:numId w:val="10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1.唱：《乃哟乃》</w:t>
            </w:r>
          </w:p>
          <w:p>
            <w:pPr>
              <w:ind w:firstLineChars="350" w:firstLine="735"/>
              <w:jc w:val="left"/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</w:tcPr>
          <w:p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/>
    <w:p/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  <w:u w:val="single"/>
        </w:rPr>
        <w:t xml:space="preserve">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463"/>
        <w:gridCol w:w="1418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41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418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418" w:type="dxa"/>
          </w:tcPr>
          <w:p>
            <w:pPr>
              <w:jc w:val="left"/>
            </w:pPr>
            <w:r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418" w:type="dxa"/>
          </w:tcPr>
          <w:p>
            <w:pPr>
              <w:jc w:val="left"/>
              <w:rPr>
                <w:szCs w:val="21"/>
              </w:rPr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r>
              <w:t>动作动作并进行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418" w:type="dxa"/>
          </w:tcPr>
          <w:p>
            <w:pPr>
              <w:jc w:val="left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>
            <w:pPr>
              <w:pStyle w:val="a6"/>
              <w:numPr>
                <w:ilvl w:val="0"/>
                <w:numId w:val="11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1418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463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418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11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>
            <w:pPr>
              <w:pStyle w:val="a6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bookmarkStart w:id="0" w:name="_GoBack" w:colFirst="3" w:colLast="3"/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szCs w:val="21"/>
              </w:rPr>
              <w:t>说说三位数不连续退位减的笔算方法</w:t>
            </w:r>
            <w:r>
              <w:rPr>
                <w:szCs w:val="21"/>
              </w:rPr>
              <w:t xml:space="preserve">                                                                  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100" w:firstLine="21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bookmarkEnd w:id="0"/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跟爸爸妈妈说一说你学到的道理：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 xml:space="preserve">2.根据课文内容，说出自己的简单看法。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>
      <w:pPr>
        <w:jc w:val="left"/>
        <w:rPr>
          <w:b/>
          <w:sz w:val="24"/>
        </w:rPr>
      </w:pPr>
    </w:p>
    <w:p>
      <w:pPr>
        <w:ind w:firstLineChars="2350" w:firstLine="5662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8"/>
          <w:szCs w:val="28"/>
          <w:u w:val="single"/>
        </w:rPr>
        <w:t xml:space="preserve">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895983"/>
    <w:multiLevelType w:val="singleLevel"/>
    <w:tmpl w:val="A089598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4F214F0"/>
    <w:multiLevelType w:val="singleLevel"/>
    <w:tmpl w:val="E4F214F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657C2B4"/>
    <w:multiLevelType w:val="singleLevel"/>
    <w:tmpl w:val="F657C2B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223C765"/>
    <w:multiLevelType w:val="singleLevel"/>
    <w:tmpl w:val="4223C76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2FE7C6B"/>
    <w:multiLevelType w:val="multilevel"/>
    <w:tmpl w:val="62FE7C6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79</cp:revision>
  <dcterms:created xsi:type="dcterms:W3CDTF">2021-08-26T03:15:00Z</dcterms:created>
  <dcterms:modified xsi:type="dcterms:W3CDTF">2023-04-13T23:52:00Z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