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1.第一单元：分清内容的主次，体会作者是如何详写主要部分的。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1第一单元：分清内容的主次。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2.第二单元：借助作品梗概，了解名著的主要内容。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总复习A(一)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>
            <w:pPr>
              <w:jc w:val="left"/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总复习A(二)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完成总复习A(二)基础题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我们</w:t>
            </w:r>
            <w:r>
              <w:t>爱剪纸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总复习A(四)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t xml:space="preserve">U8 Review </w:t>
            </w:r>
          </w:p>
          <w:p>
            <w:pPr>
              <w:jc w:val="left"/>
              <w:textAlignment w:val="baseline"/>
            </w:pPr>
            <w:r>
              <w:t>&amp;Checkout time</w:t>
            </w:r>
          </w:p>
          <w:p>
            <w:pPr>
              <w:jc w:val="left"/>
              <w:textAlignment w:val="baseline"/>
            </w:pPr>
            <w: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/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>
            <w:pPr>
              <w:jc w:val="left"/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130" w:type="dxa"/>
          </w:tcPr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总复习A(五)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64998"/>
    <w:rsid w:val="0037607D"/>
    <w:rsid w:val="003E4382"/>
    <w:rsid w:val="00414B13"/>
    <w:rsid w:val="00432440"/>
    <w:rsid w:val="004E2613"/>
    <w:rsid w:val="005532C0"/>
    <w:rsid w:val="005573B6"/>
    <w:rsid w:val="005D2C6B"/>
    <w:rsid w:val="005E65AE"/>
    <w:rsid w:val="00632938"/>
    <w:rsid w:val="006738CC"/>
    <w:rsid w:val="00683F24"/>
    <w:rsid w:val="006866AA"/>
    <w:rsid w:val="00696FC6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75D2C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96437"/>
    <w:rsid w:val="00DA2894"/>
    <w:rsid w:val="00DC408A"/>
    <w:rsid w:val="00DD55E5"/>
    <w:rsid w:val="00E60A17"/>
    <w:rsid w:val="00E87657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B762629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0A4475-2259-43CA-9FA8-B0B5DEB55E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402</Words>
  <Characters>2295</Characters>
  <Lines>19</Lines>
  <Paragraphs>5</Paragraphs>
  <TotalTime>0</TotalTime>
  <ScaleCrop>false</ScaleCrop>
  <LinksUpToDate>false</LinksUpToDate>
  <CharactersWithSpaces>2692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2023-05-15T03:06:02Z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