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17《盼》（第1课时）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熟读课文，明白课文围绕“盼”写了“我”的哪些表现，并写在语文书上。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边跳边唱和伙伴表演。</w:t>
            </w:r>
          </w:p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17《盼》（第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hAnsi="宋体" w:eastAsia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家乡企业知识知多少（第二课时）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和父母交流家乡的企业知识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和父母交流家乡的企业知识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水墨人物画（第一课时）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兔子灯（第一课时）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了解电池盒的种类。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1.完成作业单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1.完成作业单1-5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水墨人物画（第二课时）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临摹水墨</w:t>
            </w:r>
            <w:r>
              <w:t>人物画作品。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临摹水墨</w:t>
            </w:r>
            <w:r>
              <w:t>人物画作品。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pPr>
              <w:jc w:val="left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八礼四仪我宣传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pPr>
              <w:jc w:val="left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1.完成《练习与测试》第72--73页第1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648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32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7950AA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62524"/>
    <w:rsid w:val="00DC408A"/>
    <w:rsid w:val="00DD55E5"/>
    <w:rsid w:val="00E60A17"/>
    <w:rsid w:val="00E87657"/>
    <w:rsid w:val="00EF51EB"/>
    <w:rsid w:val="00F20EA0"/>
    <w:rsid w:val="00FF4F2B"/>
    <w:rsid w:val="05E75D8D"/>
    <w:rsid w:val="0BC34981"/>
    <w:rsid w:val="0C3C0DA8"/>
    <w:rsid w:val="1A7929B6"/>
    <w:rsid w:val="1E8E1342"/>
    <w:rsid w:val="239A0E9C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50B126C1"/>
    <w:rsid w:val="513F7B72"/>
    <w:rsid w:val="6409627E"/>
    <w:rsid w:val="66CA3A39"/>
    <w:rsid w:val="796B2A35"/>
    <w:rsid w:val="7A1C53FA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CB007-E1D8-4EA6-9E2F-5A14ABD5E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2111</Words>
  <Characters>2399</Characters>
  <Lines>21</Lines>
  <Paragraphs>5</Paragraphs>
  <TotalTime>0</TotalTime>
  <ScaleCrop>false</ScaleCrop>
  <LinksUpToDate>false</LinksUpToDate>
  <CharactersWithSpaces>2519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2022-11-16T11:47:41Z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