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  <w:bookmarkStart w:id="0" w:name="_GoBack"/>
      <w:bookmarkEnd w:id="0"/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-3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第三课时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3.阅读《阅读空间》第77-79页。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1.抄写第11课词语，每个两遍。</w:t>
            </w:r>
          </w:p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2.抄写语文园地三日积月累。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书面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 Fun time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中华人民共和国国歌</w:t>
            </w:r>
            <w:r>
              <w:t>》</w:t>
            </w:r>
            <w:r>
              <w:rPr>
                <w:rFonts w:hint="eastAsia"/>
                <w:lang w:eastAsia="zh-CN"/>
              </w:rPr>
              <w:t>、欣赏《中华人民共和国国歌》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第一节课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《陀螺》（第二课时）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</w:pP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top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口语交际：安慰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</w:pP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借助检测装置判断物体导不导电。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用简单电路辨别导体和绝缘体。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</w:pP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扣</w:t>
            </w:r>
            <w:r>
              <w:rPr>
                <w:rFonts w:hint="eastAsia" w:ascii="Times New Roman" w:hAnsi="Times New Roman" w:cs="Times New Roman"/>
              </w:rPr>
              <w:t>纽扣（学习穿针、打结）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2673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习作：记一次游戏（第一课时）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习作：记一次游戏（第二课时）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1.读U8知识点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/>
                <w:color w:val="000000"/>
                <w:sz w:val="22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观察生活中常见的工具或材料，体会导体和绝缘体的作用。</w:t>
            </w:r>
          </w:p>
        </w:tc>
        <w:tc>
          <w:tcPr>
            <w:tcW w:w="2835" w:type="dxa"/>
            <w:vAlign w:val="top"/>
          </w:tcPr>
          <w:p>
            <w:pPr>
              <w:jc w:val="both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借助验电球、LED灯等材料作为检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测工具，知道人体、自来水、盐水是导体。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  <w:vAlign w:val="top"/>
          </w:tcPr>
          <w:p>
            <w:pPr>
              <w:rPr>
                <w:lang w:eastAsia="zh-Hans"/>
              </w:rPr>
            </w:pPr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bCs/>
                <w:sz w:val="28"/>
                <w:szCs w:val="28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 xml:space="preserve"> 法制讲座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语文园地六（第二课时）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/>
          <w:p>
            <w:pPr>
              <w:jc w:val="left"/>
              <w:rPr>
                <w:lang w:eastAsia="zh-Hans"/>
              </w:rPr>
            </w:pP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169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89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3.Do a survey</w:t>
            </w:r>
          </w:p>
        </w:tc>
        <w:tc>
          <w:tcPr>
            <w:tcW w:w="276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left"/>
            </w:pP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角的度量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页第1--4题。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第二节课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欣赏《弹起我心爱的土琵琶》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唱《红星歌》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1DC706C"/>
    <w:rsid w:val="05C1727E"/>
    <w:rsid w:val="0A8A71D7"/>
    <w:rsid w:val="0ABC5A75"/>
    <w:rsid w:val="0B264AD7"/>
    <w:rsid w:val="0BFF003E"/>
    <w:rsid w:val="0F180250"/>
    <w:rsid w:val="1C55440A"/>
    <w:rsid w:val="1E3E3F2B"/>
    <w:rsid w:val="2AB4611E"/>
    <w:rsid w:val="2BEB3385"/>
    <w:rsid w:val="30AC6769"/>
    <w:rsid w:val="3BAE1448"/>
    <w:rsid w:val="41D2798B"/>
    <w:rsid w:val="4B8B517E"/>
    <w:rsid w:val="4D185C09"/>
    <w:rsid w:val="4DCB34AF"/>
    <w:rsid w:val="4EF9611F"/>
    <w:rsid w:val="50236B06"/>
    <w:rsid w:val="509513C3"/>
    <w:rsid w:val="55C44544"/>
    <w:rsid w:val="57B958F8"/>
    <w:rsid w:val="5DD20080"/>
    <w:rsid w:val="61A54BBF"/>
    <w:rsid w:val="67731E47"/>
    <w:rsid w:val="706F5F82"/>
    <w:rsid w:val="72691C0D"/>
    <w:rsid w:val="74E10D4F"/>
    <w:rsid w:val="7CC13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2092</Words>
  <Characters>2394</Characters>
  <Lines>46</Lines>
  <Paragraphs>13</Paragraphs>
  <TotalTime>1</TotalTime>
  <ScaleCrop>false</ScaleCrop>
  <LinksUpToDate>false</LinksUpToDate>
  <CharactersWithSpaces>2748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2022-11-17T08:26:07Z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1CE26DCAA26641C1B2D066BDFE2702DE</vt:lpwstr>
  </property>
</Properties>
</file>